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C2" w:rsidRDefault="00FB21C2">
      <w:pPr>
        <w:rPr>
          <w:b/>
          <w:bCs/>
        </w:rPr>
      </w:pPr>
      <w:bookmarkStart w:id="0" w:name="_GoBack"/>
      <w:bookmarkEnd w:id="0"/>
      <w:r>
        <w:rPr>
          <w:b/>
          <w:bCs/>
        </w:rPr>
        <w:t xml:space="preserve">Klasikas kausa gada </w:t>
      </w:r>
      <w:smartTag w:uri="schemas-tilde-lv/tildestengine" w:element="veidnes">
        <w:smartTagPr>
          <w:attr w:name="text" w:val="nolikuma"/>
          <w:attr w:name="id" w:val="-1"/>
          <w:attr w:name="baseform" w:val="nolikum|s"/>
        </w:smartTagPr>
        <w:r>
          <w:rPr>
            <w:b/>
            <w:bCs/>
          </w:rPr>
          <w:t>nolikuma</w:t>
        </w:r>
      </w:smartTag>
      <w:r>
        <w:rPr>
          <w:b/>
          <w:bCs/>
        </w:rPr>
        <w:t xml:space="preserve"> pielikuma projekts 2014.gadam</w:t>
      </w:r>
    </w:p>
    <w:p w:rsidR="00FB21C2" w:rsidRDefault="00FB21C2">
      <w:pPr>
        <w:rPr>
          <w:b/>
          <w:bCs/>
        </w:rPr>
      </w:pPr>
    </w:p>
    <w:p w:rsidR="00FB21C2" w:rsidRDefault="00FB21C2">
      <w:pPr>
        <w:rPr>
          <w:b/>
          <w:bCs/>
        </w:rPr>
      </w:pPr>
    </w:p>
    <w:p w:rsidR="00FB21C2" w:rsidRDefault="00FB21C2">
      <w:pPr>
        <w:rPr>
          <w:b/>
          <w:bCs/>
        </w:rPr>
      </w:pPr>
      <w:r>
        <w:rPr>
          <w:b/>
          <w:bCs/>
        </w:rPr>
        <w:t>Ieskaites grupas</w:t>
      </w:r>
    </w:p>
    <w:p w:rsidR="00FB21C2" w:rsidRDefault="00FB21C2">
      <w:pPr>
        <w:rPr>
          <w:b/>
          <w:bCs/>
        </w:rPr>
      </w:pPr>
    </w:p>
    <w:p w:rsidR="00FB21C2" w:rsidRDefault="00FB21C2">
      <w:r>
        <w:t xml:space="preserve">Kausa </w:t>
      </w:r>
      <w:proofErr w:type="spellStart"/>
      <w:r>
        <w:t>izcīņa</w:t>
      </w:r>
      <w:proofErr w:type="spellEnd"/>
      <w:r>
        <w:t xml:space="preserve"> tiek organizēta sekojošās aizmugures piedziņas automašīnas ar dzinēja un pārnesu kārbas novietojumu priekšā, kas atbilst LAF SAK </w:t>
      </w:r>
      <w:proofErr w:type="spellStart"/>
      <w:r>
        <w:t>Rallijsprinta</w:t>
      </w:r>
      <w:proofErr w:type="spellEnd"/>
      <w:r>
        <w:t xml:space="preserve"> Klasikas kausa Tehniskajiem noteikumiem (TN).</w:t>
      </w:r>
    </w:p>
    <w:p w:rsidR="00FB21C2" w:rsidRDefault="00FB21C2"/>
    <w:p w:rsidR="00FB21C2" w:rsidRDefault="00FB21C2">
      <w:r>
        <w:t>Papildus var tik noteikta ieskaites klase “Klasika VAZ” – VAZ markas automobiļiem ar sērijveida pārnesumu kārbām (kuri neizmanto TN 7.5. punkta iespējas).</w:t>
      </w:r>
    </w:p>
    <w:p w:rsidR="00FB21C2" w:rsidRDefault="00FB21C2"/>
    <w:p w:rsidR="00FB21C2" w:rsidRDefault="00FB21C2">
      <w:pPr>
        <w:rPr>
          <w:b/>
          <w:bCs/>
        </w:rPr>
      </w:pPr>
      <w:r>
        <w:rPr>
          <w:b/>
          <w:bCs/>
        </w:rPr>
        <w:t>Dalībnieku sapulce</w:t>
      </w:r>
    </w:p>
    <w:p w:rsidR="00FB21C2" w:rsidRDefault="00FB21C2"/>
    <w:p w:rsidR="00FB21C2" w:rsidRDefault="00FB21C2">
      <w:r>
        <w:t xml:space="preserve">TN 1.5.punktā noteiktā sacensību posma dalībnieku sapulce tiek rīkota pēc sacensību finiša. Dalībnieku sapulce notiek, ja līdz finiša slēgtā parka slēgšanai sacensību sekretariātā ir saņemts vismaz viens pieprasījums. </w:t>
      </w:r>
    </w:p>
    <w:p w:rsidR="00FB21C2" w:rsidRDefault="00FB21C2"/>
    <w:p w:rsidR="00FB21C2" w:rsidRDefault="00FB21C2">
      <w:pPr>
        <w:rPr>
          <w:b/>
          <w:bCs/>
        </w:rPr>
      </w:pPr>
      <w:r>
        <w:rPr>
          <w:b/>
          <w:bCs/>
        </w:rPr>
        <w:t>Ātrumkārbas atpirkšana</w:t>
      </w:r>
    </w:p>
    <w:p w:rsidR="00FB21C2" w:rsidRDefault="00FB21C2"/>
    <w:p w:rsidR="00FB21C2" w:rsidRDefault="00FB21C2">
      <w:r>
        <w:t xml:space="preserve">Sacensību dalībnieki (ekipāža tiek uzskatīta par vienu dalībnieku) pēc sacensību finiša var nopirkt cita šo sacensību dalībnieka automobiļa ātrumkārbu (ĀK). ĀK vērtība tiek noteikta atbilstoši TN 7.4. punktam 100,00 Ls (simts </w:t>
      </w:r>
      <w:smartTag w:uri="schemas-tilde-lv/tildestengine" w:element="veidnes">
        <w:smartTagPr>
          <w:attr w:name="text" w:val="pieteikumi"/>
          <w:attr w:name="id" w:val="-1"/>
          <w:attr w:name="baseform" w:val="pieteikum|s"/>
        </w:smartTagPr>
        <w:r>
          <w:t>lati</w:t>
        </w:r>
      </w:smartTag>
      <w:r>
        <w:t xml:space="preserve">)  vērtībā. Pieteikšanās ĀK pirkšanai notiek pēc finiša slēgtā parka laikā un tiek slēgta līdz ar finiša slēgtā parka slēgšanu. Pirkšanas </w:t>
      </w:r>
      <w:smartTag w:uri="schemas-tilde-lv/tildestengine" w:element="veidnes">
        <w:smartTagPr>
          <w:attr w:name="text" w:val="pieteikumi"/>
          <w:attr w:name="id" w:val="-1"/>
          <w:attr w:name="baseform" w:val="pieteikum|s"/>
        </w:smartTagPr>
        <w:r>
          <w:t>pieteikumi</w:t>
        </w:r>
      </w:smartTag>
      <w:r>
        <w:t xml:space="preserve"> ir jāiesniedz rakstiski sacensību sekretariātā. Dalībniekam netiek ierobežoti ĀK pirkšanas pieteikumi. Ja uz vienas ĀK pirkšanu ir pieteikušies vairāki dalībnieki, tiek rīkota izloze. ĀK demontāžu nodrošina dalībnieks, no kura ĀK ir nopirkta, to veic sacensību rīkotāja norādītā vietā, </w:t>
      </w:r>
    </w:p>
    <w:p w:rsidR="00FB21C2" w:rsidRDefault="00FB21C2"/>
    <w:p w:rsidR="00FB21C2" w:rsidRDefault="00FB21C2">
      <w:pPr>
        <w:rPr>
          <w:b/>
          <w:bCs/>
        </w:rPr>
      </w:pPr>
      <w:r>
        <w:rPr>
          <w:b/>
          <w:bCs/>
        </w:rPr>
        <w:t>Rezultātu noteikšana</w:t>
      </w:r>
    </w:p>
    <w:p w:rsidR="00FB21C2" w:rsidRDefault="00FB21C2"/>
    <w:p w:rsidR="00FB21C2" w:rsidRDefault="00FB21C2">
      <w:pPr>
        <w:spacing w:line="360" w:lineRule="auto"/>
        <w:jc w:val="both"/>
        <w:rPr>
          <w:iCs/>
        </w:rPr>
      </w:pPr>
      <w:r>
        <w:rPr>
          <w:iCs/>
        </w:rPr>
        <w:t xml:space="preserve">Atbilstoši posma rezultātiem, ekipāžai Klasikas kausa </w:t>
      </w:r>
      <w:proofErr w:type="spellStart"/>
      <w:r>
        <w:rPr>
          <w:iCs/>
        </w:rPr>
        <w:t>izcīņas</w:t>
      </w:r>
      <w:proofErr w:type="spellEnd"/>
      <w:r>
        <w:rPr>
          <w:iCs/>
        </w:rPr>
        <w:t xml:space="preserve"> kopvērtējumā piešķir punktus par izcīnīto vietu atbilstoši šādiem noteikumiem:</w:t>
      </w:r>
    </w:p>
    <w:p w:rsidR="00FB21C2" w:rsidRDefault="00FB21C2">
      <w:pPr>
        <w:numPr>
          <w:ilvl w:val="0"/>
          <w:numId w:val="2"/>
        </w:numPr>
        <w:spacing w:line="360" w:lineRule="auto"/>
        <w:jc w:val="both"/>
        <w:rPr>
          <w:iCs/>
        </w:rPr>
      </w:pPr>
      <w:r>
        <w:rPr>
          <w:iCs/>
        </w:rPr>
        <w:t>punktus piešķir visām sacensībās finišējušajām ekipāžām;</w:t>
      </w:r>
    </w:p>
    <w:p w:rsidR="00FB21C2" w:rsidRDefault="00FB21C2">
      <w:pPr>
        <w:numPr>
          <w:ilvl w:val="0"/>
          <w:numId w:val="1"/>
        </w:numPr>
        <w:spacing w:line="360" w:lineRule="auto"/>
        <w:jc w:val="both"/>
        <w:rPr>
          <w:iCs/>
        </w:rPr>
      </w:pPr>
      <w:r>
        <w:rPr>
          <w:iCs/>
        </w:rPr>
        <w:t>par izcīnīto pirmo vietu piešķir punktu skaitu, kas vienāds ar šajās sacensībās startējušo ekipāžu skaitu;</w:t>
      </w:r>
    </w:p>
    <w:p w:rsidR="00FB21C2" w:rsidRDefault="00FB21C2">
      <w:pPr>
        <w:numPr>
          <w:ilvl w:val="0"/>
          <w:numId w:val="1"/>
        </w:numPr>
        <w:spacing w:line="360" w:lineRule="auto"/>
        <w:jc w:val="both"/>
        <w:rPr>
          <w:iCs/>
        </w:rPr>
      </w:pPr>
      <w:r>
        <w:rPr>
          <w:iCs/>
        </w:rPr>
        <w:t>par katru nākamo vietu pēc pirmās punktus piešķir dilstoši – par vienu punktu mazāk nekā iepriekšējai vietai;</w:t>
      </w:r>
    </w:p>
    <w:p w:rsidR="00FB21C2" w:rsidRDefault="00FB21C2">
      <w:pPr>
        <w:spacing w:line="360" w:lineRule="auto"/>
        <w:jc w:val="both"/>
        <w:rPr>
          <w:iCs/>
        </w:rPr>
      </w:pPr>
      <w:r>
        <w:rPr>
          <w:iCs/>
        </w:rPr>
        <w:t xml:space="preserve">Piemērs. Sacensībās pieteikušās 15 ekipāžas, no tām </w:t>
      </w:r>
      <w:r>
        <w:rPr>
          <w:b/>
          <w:bCs/>
          <w:iCs/>
        </w:rPr>
        <w:t>startē 12 ekipāžas</w:t>
      </w:r>
      <w:r>
        <w:rPr>
          <w:iCs/>
        </w:rPr>
        <w:t xml:space="preserve"> un finišē 9 ekipāžas. Punktus saņem:</w:t>
      </w:r>
    </w:p>
    <w:tbl>
      <w:tblPr>
        <w:tblW w:w="0" w:type="auto"/>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4818"/>
        <w:gridCol w:w="4818"/>
      </w:tblGrid>
      <w:tr w:rsidR="00FB21C2">
        <w:tc>
          <w:tcPr>
            <w:tcW w:w="4818" w:type="dxa"/>
            <w:tcBorders>
              <w:right w:val="nil"/>
            </w:tcBorders>
            <w:shd w:val="clear" w:color="auto" w:fill="FFFFFF"/>
            <w:tcMar>
              <w:left w:w="48" w:type="dxa"/>
            </w:tcMar>
          </w:tcPr>
          <w:p w:rsidR="00FB21C2" w:rsidRDefault="00FB21C2">
            <w:pPr>
              <w:pStyle w:val="TableContents"/>
              <w:jc w:val="both"/>
            </w:pPr>
            <w:r>
              <w:t>Izcīnītā vieta</w:t>
            </w:r>
          </w:p>
        </w:tc>
        <w:tc>
          <w:tcPr>
            <w:tcW w:w="4818" w:type="dxa"/>
            <w:tcBorders>
              <w:left w:val="single" w:sz="2" w:space="0" w:color="000001"/>
              <w:right w:val="single" w:sz="2" w:space="0" w:color="000001"/>
            </w:tcBorders>
            <w:shd w:val="clear" w:color="auto" w:fill="FFFFFF"/>
            <w:tcMar>
              <w:left w:w="48" w:type="dxa"/>
            </w:tcMar>
          </w:tcPr>
          <w:p w:rsidR="00FB21C2" w:rsidRDefault="00FB21C2">
            <w:pPr>
              <w:pStyle w:val="TableContents"/>
              <w:jc w:val="both"/>
            </w:pPr>
            <w:r>
              <w:t>Punkti</w:t>
            </w:r>
          </w:p>
        </w:tc>
      </w:tr>
      <w:tr w:rsidR="00FB21C2">
        <w:tc>
          <w:tcPr>
            <w:tcW w:w="4818" w:type="dxa"/>
            <w:tcBorders>
              <w:top w:val="nil"/>
              <w:right w:val="nil"/>
            </w:tcBorders>
            <w:shd w:val="clear" w:color="auto" w:fill="FFFFFF"/>
            <w:tcMar>
              <w:left w:w="48" w:type="dxa"/>
            </w:tcMar>
          </w:tcPr>
          <w:p w:rsidR="00FB21C2" w:rsidRDefault="00FB21C2">
            <w:pPr>
              <w:pStyle w:val="TableContents"/>
              <w:jc w:val="both"/>
            </w:pPr>
            <w:r>
              <w:t>1.vieta</w:t>
            </w:r>
          </w:p>
        </w:tc>
        <w:tc>
          <w:tcPr>
            <w:tcW w:w="4818" w:type="dxa"/>
            <w:tcBorders>
              <w:top w:val="nil"/>
              <w:left w:val="single" w:sz="2" w:space="0" w:color="000001"/>
              <w:right w:val="single" w:sz="2" w:space="0" w:color="000001"/>
            </w:tcBorders>
            <w:shd w:val="clear" w:color="auto" w:fill="FFFFFF"/>
            <w:tcMar>
              <w:left w:w="48" w:type="dxa"/>
            </w:tcMar>
          </w:tcPr>
          <w:p w:rsidR="00FB21C2" w:rsidRDefault="00FB21C2">
            <w:pPr>
              <w:pStyle w:val="TableContents"/>
              <w:jc w:val="both"/>
            </w:pPr>
            <w:r>
              <w:t>12</w:t>
            </w:r>
            <w:bookmarkStart w:id="1" w:name="__DdeLink__635_541321771"/>
            <w:bookmarkEnd w:id="1"/>
            <w:r>
              <w:t xml:space="preserve"> punkti</w:t>
            </w:r>
          </w:p>
        </w:tc>
      </w:tr>
      <w:tr w:rsidR="00FB21C2">
        <w:tc>
          <w:tcPr>
            <w:tcW w:w="4818" w:type="dxa"/>
            <w:tcBorders>
              <w:top w:val="nil"/>
              <w:right w:val="nil"/>
            </w:tcBorders>
            <w:shd w:val="clear" w:color="auto" w:fill="FFFFFF"/>
            <w:tcMar>
              <w:left w:w="48" w:type="dxa"/>
            </w:tcMar>
          </w:tcPr>
          <w:p w:rsidR="00FB21C2" w:rsidRDefault="00FB21C2">
            <w:pPr>
              <w:pStyle w:val="TableContents"/>
              <w:jc w:val="both"/>
            </w:pPr>
            <w:r>
              <w:t>2.vieta</w:t>
            </w:r>
          </w:p>
        </w:tc>
        <w:tc>
          <w:tcPr>
            <w:tcW w:w="4818" w:type="dxa"/>
            <w:tcBorders>
              <w:top w:val="nil"/>
              <w:left w:val="single" w:sz="2" w:space="0" w:color="000001"/>
              <w:right w:val="single" w:sz="2" w:space="0" w:color="000001"/>
            </w:tcBorders>
            <w:shd w:val="clear" w:color="auto" w:fill="FFFFFF"/>
            <w:tcMar>
              <w:left w:w="48" w:type="dxa"/>
            </w:tcMar>
          </w:tcPr>
          <w:p w:rsidR="00FB21C2" w:rsidRDefault="00FB21C2">
            <w:pPr>
              <w:pStyle w:val="TableContents"/>
              <w:jc w:val="both"/>
            </w:pPr>
            <w:r>
              <w:t>11 punkti</w:t>
            </w:r>
          </w:p>
        </w:tc>
      </w:tr>
      <w:tr w:rsidR="00FB21C2">
        <w:tc>
          <w:tcPr>
            <w:tcW w:w="4818" w:type="dxa"/>
            <w:tcBorders>
              <w:top w:val="nil"/>
              <w:right w:val="nil"/>
            </w:tcBorders>
            <w:shd w:val="clear" w:color="auto" w:fill="FFFFFF"/>
            <w:tcMar>
              <w:left w:w="48" w:type="dxa"/>
            </w:tcMar>
          </w:tcPr>
          <w:p w:rsidR="00FB21C2" w:rsidRDefault="00FB21C2">
            <w:pPr>
              <w:pStyle w:val="TableContents"/>
              <w:jc w:val="both"/>
            </w:pPr>
            <w:r>
              <w:t>3.vieta</w:t>
            </w:r>
          </w:p>
        </w:tc>
        <w:tc>
          <w:tcPr>
            <w:tcW w:w="4818" w:type="dxa"/>
            <w:tcBorders>
              <w:top w:val="nil"/>
              <w:left w:val="single" w:sz="2" w:space="0" w:color="000001"/>
              <w:right w:val="single" w:sz="2" w:space="0" w:color="000001"/>
            </w:tcBorders>
            <w:shd w:val="clear" w:color="auto" w:fill="FFFFFF"/>
            <w:tcMar>
              <w:left w:w="48" w:type="dxa"/>
            </w:tcMar>
          </w:tcPr>
          <w:p w:rsidR="00FB21C2" w:rsidRDefault="00FB21C2">
            <w:pPr>
              <w:pStyle w:val="TableContents"/>
              <w:jc w:val="both"/>
            </w:pPr>
            <w:r>
              <w:t>10 punkti</w:t>
            </w:r>
          </w:p>
        </w:tc>
      </w:tr>
      <w:tr w:rsidR="00FB21C2">
        <w:tc>
          <w:tcPr>
            <w:tcW w:w="4818" w:type="dxa"/>
            <w:tcBorders>
              <w:top w:val="nil"/>
              <w:right w:val="nil"/>
            </w:tcBorders>
            <w:shd w:val="clear" w:color="auto" w:fill="FFFFFF"/>
            <w:tcMar>
              <w:left w:w="48" w:type="dxa"/>
            </w:tcMar>
          </w:tcPr>
          <w:p w:rsidR="00FB21C2" w:rsidRDefault="00FB21C2">
            <w:pPr>
              <w:pStyle w:val="TableContents"/>
              <w:jc w:val="both"/>
            </w:pPr>
            <w:r>
              <w:t>4.vieta</w:t>
            </w:r>
          </w:p>
        </w:tc>
        <w:tc>
          <w:tcPr>
            <w:tcW w:w="4818" w:type="dxa"/>
            <w:tcBorders>
              <w:top w:val="nil"/>
              <w:left w:val="single" w:sz="2" w:space="0" w:color="000001"/>
              <w:right w:val="single" w:sz="2" w:space="0" w:color="000001"/>
            </w:tcBorders>
            <w:shd w:val="clear" w:color="auto" w:fill="FFFFFF"/>
            <w:tcMar>
              <w:left w:w="48" w:type="dxa"/>
            </w:tcMar>
          </w:tcPr>
          <w:p w:rsidR="00FB21C2" w:rsidRDefault="00FB21C2">
            <w:pPr>
              <w:pStyle w:val="TableContents"/>
              <w:jc w:val="both"/>
            </w:pPr>
            <w:r>
              <w:t>9 punkti</w:t>
            </w:r>
          </w:p>
        </w:tc>
      </w:tr>
      <w:tr w:rsidR="00FB21C2">
        <w:tc>
          <w:tcPr>
            <w:tcW w:w="4818" w:type="dxa"/>
            <w:tcBorders>
              <w:top w:val="nil"/>
              <w:right w:val="nil"/>
            </w:tcBorders>
            <w:shd w:val="clear" w:color="auto" w:fill="FFFFFF"/>
            <w:tcMar>
              <w:left w:w="48" w:type="dxa"/>
            </w:tcMar>
          </w:tcPr>
          <w:p w:rsidR="00FB21C2" w:rsidRDefault="00FB21C2">
            <w:pPr>
              <w:pStyle w:val="TableContents"/>
              <w:jc w:val="both"/>
            </w:pPr>
            <w:r>
              <w:t>5.vieta</w:t>
            </w:r>
          </w:p>
        </w:tc>
        <w:tc>
          <w:tcPr>
            <w:tcW w:w="4818" w:type="dxa"/>
            <w:tcBorders>
              <w:top w:val="nil"/>
              <w:left w:val="single" w:sz="2" w:space="0" w:color="000001"/>
              <w:right w:val="single" w:sz="2" w:space="0" w:color="000001"/>
            </w:tcBorders>
            <w:shd w:val="clear" w:color="auto" w:fill="FFFFFF"/>
            <w:tcMar>
              <w:left w:w="48" w:type="dxa"/>
            </w:tcMar>
          </w:tcPr>
          <w:p w:rsidR="00FB21C2" w:rsidRDefault="00FB21C2">
            <w:pPr>
              <w:pStyle w:val="TableContents"/>
              <w:jc w:val="both"/>
            </w:pPr>
            <w:r>
              <w:t>8 punkti</w:t>
            </w:r>
          </w:p>
        </w:tc>
      </w:tr>
      <w:tr w:rsidR="00FB21C2">
        <w:tc>
          <w:tcPr>
            <w:tcW w:w="4818" w:type="dxa"/>
            <w:tcBorders>
              <w:top w:val="nil"/>
              <w:right w:val="nil"/>
            </w:tcBorders>
            <w:shd w:val="clear" w:color="auto" w:fill="FFFFFF"/>
            <w:tcMar>
              <w:left w:w="48" w:type="dxa"/>
            </w:tcMar>
          </w:tcPr>
          <w:p w:rsidR="00FB21C2" w:rsidRDefault="00FB21C2">
            <w:pPr>
              <w:pStyle w:val="TableContents"/>
              <w:jc w:val="both"/>
            </w:pPr>
            <w:r>
              <w:lastRenderedPageBreak/>
              <w:t>6.vieta</w:t>
            </w:r>
          </w:p>
        </w:tc>
        <w:tc>
          <w:tcPr>
            <w:tcW w:w="4818" w:type="dxa"/>
            <w:tcBorders>
              <w:top w:val="nil"/>
              <w:left w:val="single" w:sz="2" w:space="0" w:color="000001"/>
              <w:right w:val="single" w:sz="2" w:space="0" w:color="000001"/>
            </w:tcBorders>
            <w:shd w:val="clear" w:color="auto" w:fill="FFFFFF"/>
            <w:tcMar>
              <w:left w:w="48" w:type="dxa"/>
            </w:tcMar>
          </w:tcPr>
          <w:p w:rsidR="00FB21C2" w:rsidRDefault="00FB21C2">
            <w:pPr>
              <w:pStyle w:val="TableContents"/>
              <w:jc w:val="both"/>
            </w:pPr>
            <w:r>
              <w:t>7 punkti</w:t>
            </w:r>
          </w:p>
        </w:tc>
      </w:tr>
      <w:tr w:rsidR="00FB21C2">
        <w:tc>
          <w:tcPr>
            <w:tcW w:w="4818" w:type="dxa"/>
            <w:tcBorders>
              <w:top w:val="nil"/>
              <w:right w:val="nil"/>
            </w:tcBorders>
            <w:shd w:val="clear" w:color="auto" w:fill="FFFFFF"/>
            <w:tcMar>
              <w:left w:w="48" w:type="dxa"/>
            </w:tcMar>
          </w:tcPr>
          <w:p w:rsidR="00FB21C2" w:rsidRDefault="00FB21C2">
            <w:pPr>
              <w:pStyle w:val="TableContents"/>
              <w:jc w:val="both"/>
            </w:pPr>
            <w:r>
              <w:t>7.vieta</w:t>
            </w:r>
          </w:p>
        </w:tc>
        <w:tc>
          <w:tcPr>
            <w:tcW w:w="4818" w:type="dxa"/>
            <w:tcBorders>
              <w:top w:val="nil"/>
              <w:left w:val="single" w:sz="2" w:space="0" w:color="000001"/>
              <w:right w:val="single" w:sz="2" w:space="0" w:color="000001"/>
            </w:tcBorders>
            <w:shd w:val="clear" w:color="auto" w:fill="FFFFFF"/>
            <w:tcMar>
              <w:left w:w="48" w:type="dxa"/>
            </w:tcMar>
          </w:tcPr>
          <w:p w:rsidR="00FB21C2" w:rsidRDefault="00FB21C2">
            <w:pPr>
              <w:pStyle w:val="TableContents"/>
              <w:jc w:val="both"/>
            </w:pPr>
            <w:r>
              <w:t>6 punkti</w:t>
            </w:r>
          </w:p>
        </w:tc>
      </w:tr>
      <w:tr w:rsidR="00FB21C2">
        <w:tc>
          <w:tcPr>
            <w:tcW w:w="4818" w:type="dxa"/>
            <w:tcBorders>
              <w:top w:val="nil"/>
              <w:right w:val="nil"/>
            </w:tcBorders>
            <w:shd w:val="clear" w:color="auto" w:fill="FFFFFF"/>
            <w:tcMar>
              <w:left w:w="48" w:type="dxa"/>
            </w:tcMar>
          </w:tcPr>
          <w:p w:rsidR="00FB21C2" w:rsidRDefault="00FB21C2">
            <w:pPr>
              <w:pStyle w:val="TableContents"/>
              <w:jc w:val="both"/>
            </w:pPr>
            <w:r>
              <w:t>8.vieta</w:t>
            </w:r>
          </w:p>
        </w:tc>
        <w:tc>
          <w:tcPr>
            <w:tcW w:w="4818" w:type="dxa"/>
            <w:tcBorders>
              <w:top w:val="nil"/>
              <w:left w:val="single" w:sz="2" w:space="0" w:color="000001"/>
              <w:right w:val="single" w:sz="2" w:space="0" w:color="000001"/>
            </w:tcBorders>
            <w:shd w:val="clear" w:color="auto" w:fill="FFFFFF"/>
            <w:tcMar>
              <w:left w:w="48" w:type="dxa"/>
            </w:tcMar>
          </w:tcPr>
          <w:p w:rsidR="00FB21C2" w:rsidRDefault="00FB21C2">
            <w:pPr>
              <w:pStyle w:val="TableContents"/>
              <w:jc w:val="both"/>
            </w:pPr>
            <w:r>
              <w:t>5 punkti</w:t>
            </w:r>
          </w:p>
        </w:tc>
      </w:tr>
      <w:tr w:rsidR="00FB21C2">
        <w:tc>
          <w:tcPr>
            <w:tcW w:w="4818" w:type="dxa"/>
            <w:tcBorders>
              <w:top w:val="nil"/>
              <w:right w:val="nil"/>
            </w:tcBorders>
            <w:shd w:val="clear" w:color="auto" w:fill="FFFFFF"/>
            <w:tcMar>
              <w:left w:w="48" w:type="dxa"/>
            </w:tcMar>
          </w:tcPr>
          <w:p w:rsidR="00FB21C2" w:rsidRDefault="00FB21C2">
            <w:pPr>
              <w:pStyle w:val="TableContents"/>
              <w:jc w:val="both"/>
            </w:pPr>
            <w:r>
              <w:t>9.vieta</w:t>
            </w:r>
          </w:p>
        </w:tc>
        <w:tc>
          <w:tcPr>
            <w:tcW w:w="4818" w:type="dxa"/>
            <w:tcBorders>
              <w:top w:val="nil"/>
              <w:left w:val="single" w:sz="2" w:space="0" w:color="000001"/>
              <w:right w:val="single" w:sz="2" w:space="0" w:color="000001"/>
            </w:tcBorders>
            <w:shd w:val="clear" w:color="auto" w:fill="FFFFFF"/>
            <w:tcMar>
              <w:left w:w="48" w:type="dxa"/>
            </w:tcMar>
          </w:tcPr>
          <w:p w:rsidR="00FB21C2" w:rsidRDefault="00FB21C2">
            <w:pPr>
              <w:pStyle w:val="TableContents"/>
              <w:jc w:val="both"/>
            </w:pPr>
            <w:r>
              <w:t>4 punkti</w:t>
            </w:r>
          </w:p>
        </w:tc>
      </w:tr>
      <w:tr w:rsidR="00FB21C2">
        <w:tc>
          <w:tcPr>
            <w:tcW w:w="4818" w:type="dxa"/>
            <w:tcBorders>
              <w:top w:val="nil"/>
              <w:right w:val="nil"/>
            </w:tcBorders>
            <w:shd w:val="clear" w:color="auto" w:fill="FFFFFF"/>
            <w:tcMar>
              <w:left w:w="48" w:type="dxa"/>
            </w:tcMar>
          </w:tcPr>
          <w:p w:rsidR="00FB21C2" w:rsidRDefault="00FB21C2">
            <w:pPr>
              <w:pStyle w:val="TableContents"/>
              <w:jc w:val="both"/>
            </w:pPr>
            <w:r>
              <w:t>Nav finišējuši</w:t>
            </w:r>
          </w:p>
        </w:tc>
        <w:tc>
          <w:tcPr>
            <w:tcW w:w="4818" w:type="dxa"/>
            <w:tcBorders>
              <w:top w:val="nil"/>
              <w:left w:val="single" w:sz="2" w:space="0" w:color="000001"/>
              <w:right w:val="single" w:sz="2" w:space="0" w:color="000001"/>
            </w:tcBorders>
            <w:shd w:val="clear" w:color="auto" w:fill="FFFFFF"/>
            <w:tcMar>
              <w:left w:w="48" w:type="dxa"/>
            </w:tcMar>
          </w:tcPr>
          <w:p w:rsidR="00FB21C2" w:rsidRDefault="00FB21C2">
            <w:pPr>
              <w:pStyle w:val="TableContents"/>
              <w:jc w:val="both"/>
            </w:pPr>
            <w:r>
              <w:t>0</w:t>
            </w:r>
          </w:p>
        </w:tc>
      </w:tr>
    </w:tbl>
    <w:p w:rsidR="00FB21C2" w:rsidRDefault="00FB21C2">
      <w:pPr>
        <w:spacing w:line="360" w:lineRule="auto"/>
        <w:jc w:val="both"/>
      </w:pPr>
    </w:p>
    <w:p w:rsidR="00FB21C2" w:rsidRDefault="00FB21C2"/>
    <w:sectPr w:rsidR="00FB21C2" w:rsidSect="00F55A9A">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BA"/>
    <w:family w:val="auto"/>
    <w:notTrueType/>
    <w:pitch w:val="variable"/>
    <w:sig w:usb0="00000005" w:usb1="00000000" w:usb2="00000000" w:usb3="00000000" w:csb0="0000008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85E9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50452502"/>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
    <w:nsid w:val="793128A6"/>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9A"/>
    <w:rsid w:val="00125A38"/>
    <w:rsid w:val="002150A8"/>
    <w:rsid w:val="00247570"/>
    <w:rsid w:val="002E4FB9"/>
    <w:rsid w:val="00435F46"/>
    <w:rsid w:val="00684F64"/>
    <w:rsid w:val="009C7895"/>
    <w:rsid w:val="00C26935"/>
    <w:rsid w:val="00F55A9A"/>
    <w:rsid w:val="00FB21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88C629DE-A322-45A8-84C0-34C4CD3C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5A9A"/>
    <w:pPr>
      <w:widowControl w:val="0"/>
      <w:suppressAutoHyphens/>
    </w:pPr>
    <w:rPr>
      <w:rFonts w:ascii="Times New Roman" w:eastAsia="SimSun" w:hAnsi="Times New Roman" w:cs="Mangal"/>
      <w:color w:val="00000A"/>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ullets">
    <w:name w:val="Bullets"/>
    <w:uiPriority w:val="99"/>
    <w:rsid w:val="00F55A9A"/>
    <w:rPr>
      <w:rFonts w:ascii="OpenSymbol" w:hAnsi="OpenSymbol"/>
    </w:rPr>
  </w:style>
  <w:style w:type="character" w:customStyle="1" w:styleId="ListLabel1">
    <w:name w:val="ListLabel 1"/>
    <w:uiPriority w:val="99"/>
    <w:rsid w:val="00F55A9A"/>
  </w:style>
  <w:style w:type="character" w:customStyle="1" w:styleId="ListLabel2">
    <w:name w:val="ListLabel 2"/>
    <w:uiPriority w:val="99"/>
    <w:rsid w:val="00F55A9A"/>
  </w:style>
  <w:style w:type="character" w:customStyle="1" w:styleId="ListLabel3">
    <w:name w:val="ListLabel 3"/>
    <w:uiPriority w:val="99"/>
    <w:rsid w:val="00F55A9A"/>
  </w:style>
  <w:style w:type="character" w:customStyle="1" w:styleId="ListLabel4">
    <w:name w:val="ListLabel 4"/>
    <w:uiPriority w:val="99"/>
    <w:rsid w:val="00F55A9A"/>
  </w:style>
  <w:style w:type="character" w:customStyle="1" w:styleId="ListLabel5">
    <w:name w:val="ListLabel 5"/>
    <w:uiPriority w:val="99"/>
    <w:rsid w:val="00F55A9A"/>
  </w:style>
  <w:style w:type="character" w:customStyle="1" w:styleId="ListLabel6">
    <w:name w:val="ListLabel 6"/>
    <w:uiPriority w:val="99"/>
    <w:rsid w:val="00F55A9A"/>
  </w:style>
  <w:style w:type="paragraph" w:customStyle="1" w:styleId="Heading">
    <w:name w:val="Heading"/>
    <w:basedOn w:val="Parasts"/>
    <w:next w:val="TextBody"/>
    <w:uiPriority w:val="99"/>
    <w:rsid w:val="00F55A9A"/>
    <w:pPr>
      <w:keepNext/>
      <w:spacing w:before="240" w:after="120"/>
    </w:pPr>
    <w:rPr>
      <w:rFonts w:ascii="Arial" w:eastAsia="Times New Roman" w:hAnsi="Arial"/>
      <w:sz w:val="28"/>
      <w:szCs w:val="28"/>
    </w:rPr>
  </w:style>
  <w:style w:type="paragraph" w:customStyle="1" w:styleId="TextBody">
    <w:name w:val="Text Body"/>
    <w:basedOn w:val="Parasts"/>
    <w:uiPriority w:val="99"/>
    <w:rsid w:val="00F55A9A"/>
    <w:pPr>
      <w:spacing w:after="120"/>
    </w:pPr>
  </w:style>
  <w:style w:type="paragraph" w:styleId="Saraksts">
    <w:name w:val="List"/>
    <w:basedOn w:val="TextBody"/>
    <w:uiPriority w:val="99"/>
    <w:rsid w:val="00F55A9A"/>
  </w:style>
  <w:style w:type="paragraph" w:styleId="Parakstszemobjekta">
    <w:name w:val="caption"/>
    <w:basedOn w:val="Parasts"/>
    <w:uiPriority w:val="99"/>
    <w:qFormat/>
    <w:rsid w:val="00F55A9A"/>
    <w:pPr>
      <w:suppressLineNumbers/>
      <w:spacing w:before="120" w:after="120"/>
    </w:pPr>
    <w:rPr>
      <w:i/>
      <w:iCs/>
    </w:rPr>
  </w:style>
  <w:style w:type="paragraph" w:customStyle="1" w:styleId="Index">
    <w:name w:val="Index"/>
    <w:basedOn w:val="Parasts"/>
    <w:uiPriority w:val="99"/>
    <w:rsid w:val="00F55A9A"/>
    <w:pPr>
      <w:suppressLineNumbers/>
    </w:pPr>
  </w:style>
  <w:style w:type="paragraph" w:customStyle="1" w:styleId="TableContents">
    <w:name w:val="Table Contents"/>
    <w:basedOn w:val="Parasts"/>
    <w:uiPriority w:val="99"/>
    <w:rsid w:val="00F55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1351</Words>
  <Characters>771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Ieskaites grupas</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Ieskaites grupas</dc:title>
  <dc:subject/>
  <dc:creator>Dace</dc:creator>
  <cp:keywords/>
  <dc:description/>
  <cp:lastModifiedBy>Dace</cp:lastModifiedBy>
  <cp:revision>2</cp:revision>
  <dcterms:created xsi:type="dcterms:W3CDTF">2013-10-09T08:57:00Z</dcterms:created>
  <dcterms:modified xsi:type="dcterms:W3CDTF">2013-10-09T08:57:00Z</dcterms:modified>
</cp:coreProperties>
</file>